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4F5BBB12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3"/>
        <w:gridCol w:w="4916"/>
      </w:tblGrid>
      <w:tr w:rsidR="00A160B2" w14:paraId="3E9231EB" w14:textId="77777777" w:rsidTr="00295EDE">
        <w:trPr>
          <w:tblHeader/>
        </w:trPr>
        <w:tc>
          <w:tcPr>
            <w:tcW w:w="3393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6" w:type="dxa"/>
            <w:tcBorders>
              <w:bottom w:val="single" w:sz="18" w:space="0" w:color="auto"/>
            </w:tcBorders>
          </w:tcPr>
          <w:p w14:paraId="55A88F66" w14:textId="2CA157E5" w:rsidR="00A160B2" w:rsidRPr="00295EDE" w:rsidRDefault="00295EDE" w:rsidP="006C3150">
            <w:pPr>
              <w:pStyle w:val="Heading1"/>
              <w:outlineLvl w:val="0"/>
            </w:pPr>
            <w:r>
              <w:t>Council</w:t>
            </w:r>
          </w:p>
        </w:tc>
      </w:tr>
      <w:tr w:rsidR="00A160B2" w14:paraId="5281F5A9" w14:textId="77777777" w:rsidTr="00295EDE">
        <w:tc>
          <w:tcPr>
            <w:tcW w:w="3393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  <w:tcBorders>
              <w:top w:val="single" w:sz="18" w:space="0" w:color="auto"/>
            </w:tcBorders>
          </w:tcPr>
          <w:p w14:paraId="495EBCE8" w14:textId="63C928FE" w:rsidR="00A160B2" w:rsidRDefault="00295EDE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18 May 2023</w:t>
            </w:r>
          </w:p>
        </w:tc>
      </w:tr>
      <w:tr w:rsidR="00A160B2" w14:paraId="79B879D4" w14:textId="77777777" w:rsidTr="00295EDE">
        <w:tc>
          <w:tcPr>
            <w:tcW w:w="3393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6" w:type="dxa"/>
          </w:tcPr>
          <w:p w14:paraId="5914456E" w14:textId="3FE40746" w:rsidR="00A160B2" w:rsidRDefault="00295EDE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  <w:b/>
                <w:szCs w:val="28"/>
              </w:rPr>
              <w:t>C</w:t>
            </w:r>
            <w:r>
              <w:rPr>
                <w:b/>
                <w:szCs w:val="28"/>
              </w:rPr>
              <w:t>abinet and</w:t>
            </w:r>
            <w:r w:rsidRPr="00E05581">
              <w:rPr>
                <w:rFonts w:cs="Arial"/>
                <w:b/>
                <w:szCs w:val="28"/>
              </w:rPr>
              <w:t xml:space="preserve"> Committee Memberships</w:t>
            </w:r>
          </w:p>
        </w:tc>
      </w:tr>
      <w:tr w:rsidR="00A160B2" w14:paraId="3A5E0F07" w14:textId="77777777" w:rsidTr="00295EDE">
        <w:tc>
          <w:tcPr>
            <w:tcW w:w="3393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</w:tcPr>
          <w:p w14:paraId="63C5F91B" w14:textId="5AFEDA2F" w:rsidR="00A160B2" w:rsidRDefault="00295EDE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J</w:t>
            </w:r>
            <w:r>
              <w:t>essica Farmer</w:t>
            </w:r>
            <w:r>
              <w:rPr>
                <w:rFonts w:cs="Arial"/>
              </w:rPr>
              <w:t xml:space="preserve"> – I</w:t>
            </w:r>
            <w:r>
              <w:t xml:space="preserve">nterim </w:t>
            </w:r>
            <w:r>
              <w:rPr>
                <w:rFonts w:cs="Arial"/>
              </w:rPr>
              <w:t>Director of Legal and Governance Services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295EDE">
        <w:tc>
          <w:tcPr>
            <w:tcW w:w="3393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</w:tcPr>
          <w:p w14:paraId="57D61F9A" w14:textId="2F8971D1" w:rsidR="00A160B2" w:rsidRDefault="00295EDE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C35C184" w14:textId="77777777" w:rsidTr="00295EDE">
        <w:tc>
          <w:tcPr>
            <w:tcW w:w="3393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6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4C232B02" w14:textId="62FDFC34" w:rsidR="00A160B2" w:rsidRDefault="00295EDE" w:rsidP="006C3150">
            <w:pPr>
              <w:pStyle w:val="Infotext"/>
            </w:pPr>
            <w:r w:rsidRPr="00745973">
              <w:rPr>
                <w:rFonts w:cs="Arial"/>
                <w:szCs w:val="24"/>
              </w:rPr>
              <w:t>List of Committee Memberships</w:t>
            </w:r>
          </w:p>
        </w:tc>
      </w:tr>
    </w:tbl>
    <w:p w14:paraId="346FFFA7" w14:textId="33F19CBD" w:rsidR="00A160B2" w:rsidRDefault="00A160B2" w:rsidP="00A160B2">
      <w:pPr>
        <w:spacing w:after="480"/>
        <w:rPr>
          <w:rFonts w:cs="Arial"/>
        </w:rPr>
      </w:pPr>
    </w:p>
    <w:p w14:paraId="22F8129D" w14:textId="77777777" w:rsidR="00295EDE" w:rsidRPr="00E05581" w:rsidRDefault="00295EDE" w:rsidP="00295EDE">
      <w:pPr>
        <w:pStyle w:val="multinumbering"/>
        <w:rPr>
          <w:rFonts w:cs="Arial"/>
          <w:b/>
        </w:rPr>
      </w:pPr>
      <w:r>
        <w:rPr>
          <w:rFonts w:cs="Arial"/>
          <w:b/>
        </w:rPr>
        <w:t xml:space="preserve">Introduction </w:t>
      </w:r>
    </w:p>
    <w:p w14:paraId="21EED2AD" w14:textId="77777777" w:rsidR="00295EDE" w:rsidRDefault="00295EDE" w:rsidP="00295EDE">
      <w:pPr>
        <w:pStyle w:val="multinumbering"/>
        <w:tabs>
          <w:tab w:val="left" w:pos="709"/>
        </w:tabs>
        <w:ind w:left="709" w:hanging="709"/>
        <w:rPr>
          <w:rFonts w:cs="Arial"/>
        </w:rPr>
      </w:pPr>
      <w:r w:rsidRPr="00E05581">
        <w:rPr>
          <w:rFonts w:cs="Arial"/>
        </w:rPr>
        <w:t>1.1</w:t>
      </w:r>
      <w:r w:rsidRPr="00E05581">
        <w:rPr>
          <w:rFonts w:cs="Arial"/>
        </w:rPr>
        <w:tab/>
        <w:t>The Council is required to review and determine the allocation of places on standing committees to political groups in accordance with the political balance rules.</w:t>
      </w:r>
      <w:r>
        <w:rPr>
          <w:rFonts w:cs="Arial"/>
        </w:rPr>
        <w:t xml:space="preserve"> </w:t>
      </w:r>
      <w:r w:rsidRPr="00E05581">
        <w:rPr>
          <w:rFonts w:cs="Arial"/>
        </w:rPr>
        <w:t>Members of Committees and Sub-Committees are appointed in accordance with the wishes of the political groups.</w:t>
      </w:r>
      <w:r>
        <w:rPr>
          <w:rFonts w:cs="Arial"/>
        </w:rPr>
        <w:t xml:space="preserve">  The Licensing and General Purposes Committee and Overview and Scrutiny Committee </w:t>
      </w:r>
      <w:r w:rsidRPr="00E05581">
        <w:rPr>
          <w:rFonts w:cs="Arial"/>
        </w:rPr>
        <w:t xml:space="preserve">will meet on the rising of the </w:t>
      </w:r>
      <w:r>
        <w:rPr>
          <w:rFonts w:cs="Arial"/>
        </w:rPr>
        <w:t>Annual</w:t>
      </w:r>
      <w:r w:rsidRPr="00E05581">
        <w:rPr>
          <w:rFonts w:cs="Arial"/>
        </w:rPr>
        <w:t xml:space="preserve"> Council Meeting to determine the allocation of places on their </w:t>
      </w:r>
      <w:r w:rsidRPr="00BE65E0">
        <w:rPr>
          <w:rFonts w:cs="Arial"/>
        </w:rPr>
        <w:t>Sub-Committees</w:t>
      </w:r>
      <w:r w:rsidRPr="00E05581">
        <w:rPr>
          <w:rFonts w:cs="Arial"/>
        </w:rPr>
        <w:t xml:space="preserve">.  The names of the Members </w:t>
      </w:r>
      <w:r>
        <w:rPr>
          <w:rFonts w:cs="Arial"/>
        </w:rPr>
        <w:t xml:space="preserve">proposed to be </w:t>
      </w:r>
      <w:r w:rsidRPr="00E05581">
        <w:rPr>
          <w:rFonts w:cs="Arial"/>
        </w:rPr>
        <w:t>appointed</w:t>
      </w:r>
      <w:r>
        <w:rPr>
          <w:rFonts w:cs="Arial"/>
        </w:rPr>
        <w:t xml:space="preserve"> by the political group which holds the majority of Members in the Council</w:t>
      </w:r>
      <w:r w:rsidRPr="00E05581">
        <w:rPr>
          <w:rFonts w:cs="Arial"/>
        </w:rPr>
        <w:t xml:space="preserve"> are</w:t>
      </w:r>
      <w:r>
        <w:rPr>
          <w:rFonts w:cs="Arial"/>
        </w:rPr>
        <w:t xml:space="preserve"> attached</w:t>
      </w:r>
      <w:r w:rsidRPr="00E05581">
        <w:rPr>
          <w:rFonts w:cs="Arial"/>
        </w:rPr>
        <w:t>.</w:t>
      </w:r>
    </w:p>
    <w:p w14:paraId="6214EED1" w14:textId="77777777" w:rsidR="00295EDE" w:rsidRDefault="00295EDE" w:rsidP="00295EDE">
      <w:pPr>
        <w:pStyle w:val="multinumbering"/>
        <w:tabs>
          <w:tab w:val="left" w:pos="709"/>
        </w:tabs>
        <w:ind w:left="709" w:hanging="709"/>
        <w:rPr>
          <w:rFonts w:cs="Arial"/>
        </w:rPr>
      </w:pPr>
      <w:r w:rsidRPr="00E05581">
        <w:rPr>
          <w:rFonts w:cs="Arial"/>
        </w:rPr>
        <w:t>1.2</w:t>
      </w:r>
      <w:r w:rsidRPr="00E05581">
        <w:rPr>
          <w:rFonts w:cs="Arial"/>
        </w:rPr>
        <w:tab/>
      </w:r>
      <w:r w:rsidRPr="00CD010B">
        <w:rPr>
          <w:rFonts w:cs="Arial"/>
          <w:b/>
        </w:rPr>
        <w:t>Political Balance</w:t>
      </w:r>
      <w:r>
        <w:rPr>
          <w:rFonts w:cs="Arial"/>
        </w:rPr>
        <w:t xml:space="preserve"> </w:t>
      </w:r>
    </w:p>
    <w:p w14:paraId="581ABC10" w14:textId="77777777" w:rsidR="00295EDE" w:rsidRDefault="00295EDE" w:rsidP="00295EDE">
      <w:pPr>
        <w:pStyle w:val="multinumbering"/>
        <w:tabs>
          <w:tab w:val="left" w:pos="709"/>
        </w:tabs>
        <w:ind w:left="709" w:hanging="709"/>
        <w:rPr>
          <w:rFonts w:cs="Arial"/>
        </w:rPr>
      </w:pPr>
      <w:r>
        <w:rPr>
          <w:rFonts w:cs="Arial"/>
        </w:rPr>
        <w:tab/>
      </w:r>
      <w:r w:rsidRPr="00E05581">
        <w:rPr>
          <w:rFonts w:cs="Arial"/>
        </w:rPr>
        <w:t>The allocation is determined in accord</w:t>
      </w:r>
      <w:r>
        <w:rPr>
          <w:rFonts w:cs="Arial"/>
        </w:rPr>
        <w:t>ance</w:t>
      </w:r>
      <w:r w:rsidRPr="00E05581">
        <w:rPr>
          <w:rFonts w:cs="Arial"/>
        </w:rPr>
        <w:t xml:space="preserve"> with the application of “political balance” rules under the Local Government and Housing Act 1989 and </w:t>
      </w:r>
      <w:r>
        <w:rPr>
          <w:rFonts w:cs="Arial"/>
        </w:rPr>
        <w:t xml:space="preserve">is </w:t>
      </w:r>
      <w:r w:rsidRPr="00E05581">
        <w:rPr>
          <w:rFonts w:cs="Arial"/>
        </w:rPr>
        <w:t xml:space="preserve">designed to ensure that the political composition of the Council’s </w:t>
      </w:r>
      <w:r>
        <w:rPr>
          <w:rFonts w:cs="Arial"/>
        </w:rPr>
        <w:t>committees</w:t>
      </w:r>
      <w:r w:rsidRPr="00E05581">
        <w:rPr>
          <w:rFonts w:cs="Arial"/>
        </w:rPr>
        <w:t>, insofar as possible, replicates the political composition of the Council.</w:t>
      </w:r>
    </w:p>
    <w:p w14:paraId="14ADA07C" w14:textId="77777777" w:rsidR="00295EDE" w:rsidRDefault="00295EDE" w:rsidP="00295EDE">
      <w:pPr>
        <w:pStyle w:val="multinumbering"/>
        <w:tabs>
          <w:tab w:val="left" w:pos="709"/>
        </w:tabs>
        <w:ind w:left="709" w:hanging="709"/>
      </w:pPr>
      <w:r w:rsidRPr="00E05581">
        <w:t>1.3</w:t>
      </w:r>
      <w:r w:rsidRPr="00E05581">
        <w:tab/>
      </w:r>
      <w:r w:rsidRPr="003559F6">
        <w:rPr>
          <w:b/>
        </w:rPr>
        <w:t xml:space="preserve">Cabinet </w:t>
      </w:r>
    </w:p>
    <w:p w14:paraId="63F27363" w14:textId="77777777" w:rsidR="00295EDE" w:rsidRPr="008A77A8" w:rsidRDefault="00295EDE" w:rsidP="00295EDE">
      <w:pPr>
        <w:pStyle w:val="multinumbering"/>
        <w:tabs>
          <w:tab w:val="left" w:pos="709"/>
        </w:tabs>
        <w:ind w:left="709" w:hanging="709"/>
      </w:pPr>
      <w:r>
        <w:tab/>
      </w:r>
      <w:r w:rsidRPr="008A77A8">
        <w:t>The Local Government Public Involvement in Health Act 2007 requires the Leader of the Council to notify it of:</w:t>
      </w:r>
    </w:p>
    <w:p w14:paraId="67417B99" w14:textId="77777777" w:rsidR="00295EDE" w:rsidRPr="008A77A8" w:rsidRDefault="00295EDE" w:rsidP="00295EDE">
      <w:pPr>
        <w:pStyle w:val="Header"/>
        <w:numPr>
          <w:ilvl w:val="0"/>
          <w:numId w:val="19"/>
        </w:numPr>
        <w:tabs>
          <w:tab w:val="clear" w:pos="1400"/>
          <w:tab w:val="clear" w:pos="4153"/>
          <w:tab w:val="clear" w:pos="8306"/>
          <w:tab w:val="num" w:pos="1200"/>
        </w:tabs>
        <w:ind w:left="1320" w:hanging="480"/>
        <w:jc w:val="both"/>
        <w:rPr>
          <w:rFonts w:cs="Arial"/>
          <w:szCs w:val="24"/>
        </w:rPr>
      </w:pPr>
      <w:r w:rsidRPr="008A77A8">
        <w:rPr>
          <w:rFonts w:cs="Arial"/>
          <w:szCs w:val="24"/>
        </w:rPr>
        <w:t xml:space="preserve">The name of the Deputy Leader of the Council; and </w:t>
      </w:r>
    </w:p>
    <w:p w14:paraId="562F863B" w14:textId="77777777" w:rsidR="00295EDE" w:rsidRPr="008A77A8" w:rsidRDefault="00295EDE" w:rsidP="00295EDE">
      <w:pPr>
        <w:pStyle w:val="Header"/>
        <w:numPr>
          <w:ilvl w:val="0"/>
          <w:numId w:val="19"/>
        </w:numPr>
        <w:tabs>
          <w:tab w:val="clear" w:pos="1400"/>
          <w:tab w:val="clear" w:pos="4153"/>
          <w:tab w:val="clear" w:pos="8306"/>
          <w:tab w:val="num" w:pos="1200"/>
        </w:tabs>
        <w:ind w:left="1200" w:hanging="360"/>
        <w:rPr>
          <w:rFonts w:cs="Arial"/>
          <w:szCs w:val="24"/>
        </w:rPr>
      </w:pPr>
      <w:r w:rsidRPr="008A77A8">
        <w:rPr>
          <w:rFonts w:cs="Arial"/>
          <w:szCs w:val="24"/>
        </w:rPr>
        <w:lastRenderedPageBreak/>
        <w:t>The names of Cabinet Members and their delegated authorities (i.e. Portfolios).</w:t>
      </w:r>
    </w:p>
    <w:p w14:paraId="783D639E" w14:textId="77777777" w:rsidR="00295EDE" w:rsidRDefault="00295EDE" w:rsidP="00295EDE">
      <w:pPr>
        <w:pStyle w:val="multinumbering"/>
        <w:tabs>
          <w:tab w:val="left" w:pos="709"/>
        </w:tabs>
        <w:ind w:left="709" w:hanging="709"/>
        <w:jc w:val="both"/>
      </w:pPr>
    </w:p>
    <w:p w14:paraId="66238A99" w14:textId="77777777" w:rsidR="00295EDE" w:rsidRDefault="00295EDE" w:rsidP="00295EDE">
      <w:pPr>
        <w:pStyle w:val="Header"/>
        <w:numPr>
          <w:ilvl w:val="1"/>
          <w:numId w:val="21"/>
        </w:numPr>
        <w:tabs>
          <w:tab w:val="clear" w:pos="360"/>
          <w:tab w:val="clear" w:pos="4153"/>
          <w:tab w:val="clear" w:pos="8306"/>
          <w:tab w:val="num" w:pos="720"/>
        </w:tabs>
        <w:ind w:left="720" w:hanging="720"/>
        <w:rPr>
          <w:rFonts w:cs="Arial"/>
          <w:szCs w:val="24"/>
        </w:rPr>
      </w:pPr>
      <w:r w:rsidRPr="00E05581">
        <w:rPr>
          <w:rFonts w:cs="Arial"/>
          <w:szCs w:val="24"/>
        </w:rPr>
        <w:t>The Constitution will be updated to reflect the changes</w:t>
      </w:r>
      <w:r>
        <w:rPr>
          <w:rFonts w:cs="Arial"/>
          <w:szCs w:val="24"/>
        </w:rPr>
        <w:t xml:space="preserve"> in this agenda </w:t>
      </w:r>
      <w:r w:rsidRPr="00E05581">
        <w:rPr>
          <w:rFonts w:cs="Arial"/>
          <w:szCs w:val="24"/>
        </w:rPr>
        <w:t xml:space="preserve">by the Director of Legal </w:t>
      </w:r>
      <w:r>
        <w:rPr>
          <w:rFonts w:cs="Arial"/>
          <w:szCs w:val="24"/>
        </w:rPr>
        <w:t>and</w:t>
      </w:r>
      <w:r w:rsidRPr="00E05581">
        <w:rPr>
          <w:rFonts w:cs="Arial"/>
          <w:szCs w:val="24"/>
        </w:rPr>
        <w:t xml:space="preserve"> Governance Services in accordance with </w:t>
      </w:r>
      <w:r>
        <w:rPr>
          <w:rFonts w:cs="Arial"/>
          <w:szCs w:val="24"/>
        </w:rPr>
        <w:t>the</w:t>
      </w:r>
      <w:r w:rsidRPr="00E05581">
        <w:rPr>
          <w:rFonts w:cs="Arial"/>
          <w:szCs w:val="24"/>
        </w:rPr>
        <w:t xml:space="preserve"> existing delegation.</w:t>
      </w:r>
    </w:p>
    <w:p w14:paraId="7C89067D" w14:textId="77777777" w:rsidR="00295EDE" w:rsidRDefault="00295EDE" w:rsidP="00295EDE">
      <w:pPr>
        <w:pStyle w:val="multinumbering"/>
        <w:tabs>
          <w:tab w:val="left" w:pos="709"/>
        </w:tabs>
        <w:ind w:left="709" w:hanging="709"/>
        <w:rPr>
          <w:rFonts w:cs="Arial"/>
          <w:b/>
        </w:rPr>
      </w:pPr>
    </w:p>
    <w:p w14:paraId="2FCAF3BB" w14:textId="77777777" w:rsidR="00295EDE" w:rsidRPr="00E05581" w:rsidRDefault="00295EDE" w:rsidP="00295EDE">
      <w:pPr>
        <w:pStyle w:val="multinumbering"/>
        <w:tabs>
          <w:tab w:val="left" w:pos="709"/>
        </w:tabs>
        <w:ind w:left="709" w:hanging="709"/>
        <w:rPr>
          <w:rFonts w:cs="Arial"/>
          <w:b/>
        </w:rPr>
      </w:pPr>
      <w:r w:rsidRPr="00E05581">
        <w:rPr>
          <w:rFonts w:cs="Arial"/>
          <w:b/>
        </w:rPr>
        <w:t>2.</w:t>
      </w:r>
      <w:r w:rsidRPr="00E05581">
        <w:rPr>
          <w:rFonts w:cs="Arial"/>
          <w:b/>
        </w:rPr>
        <w:tab/>
        <w:t xml:space="preserve">Recommendations: </w:t>
      </w:r>
    </w:p>
    <w:p w14:paraId="17F50C67" w14:textId="6EB36B0B" w:rsidR="00295EDE" w:rsidRPr="00E05581" w:rsidRDefault="00295EDE" w:rsidP="00295EDE">
      <w:pPr>
        <w:pStyle w:val="Heading1"/>
        <w:keepNext/>
        <w:numPr>
          <w:ilvl w:val="1"/>
          <w:numId w:val="20"/>
        </w:numPr>
        <w:tabs>
          <w:tab w:val="clear" w:pos="360"/>
          <w:tab w:val="num" w:pos="720"/>
          <w:tab w:val="num" w:pos="1440"/>
        </w:tabs>
        <w:spacing w:after="60"/>
        <w:ind w:left="720" w:hanging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Pr="00E05581">
        <w:rPr>
          <w:rFonts w:ascii="Arial" w:hAnsi="Arial"/>
          <w:sz w:val="24"/>
          <w:szCs w:val="24"/>
        </w:rPr>
        <w:t xml:space="preserve">t be noted that Councillor </w:t>
      </w:r>
      <w:r w:rsidR="00446DF5">
        <w:rPr>
          <w:rFonts w:ascii="Arial" w:hAnsi="Arial"/>
          <w:sz w:val="24"/>
          <w:szCs w:val="24"/>
        </w:rPr>
        <w:t xml:space="preserve">Marilyn Ashton </w:t>
      </w:r>
      <w:r w:rsidRPr="00E05581">
        <w:rPr>
          <w:rFonts w:ascii="Arial" w:hAnsi="Arial"/>
          <w:sz w:val="24"/>
          <w:szCs w:val="24"/>
        </w:rPr>
        <w:t>is the Deputy Leader of the Council</w:t>
      </w:r>
      <w:r>
        <w:rPr>
          <w:rFonts w:ascii="Arial" w:hAnsi="Arial"/>
          <w:sz w:val="24"/>
          <w:szCs w:val="24"/>
        </w:rPr>
        <w:t>;</w:t>
      </w:r>
    </w:p>
    <w:p w14:paraId="2EE97920" w14:textId="77777777" w:rsidR="00295EDE" w:rsidRPr="00E05581" w:rsidRDefault="00295EDE" w:rsidP="00295EDE">
      <w:pPr>
        <w:jc w:val="both"/>
        <w:rPr>
          <w:rFonts w:cs="Arial"/>
          <w:szCs w:val="24"/>
        </w:rPr>
      </w:pPr>
    </w:p>
    <w:p w14:paraId="4DD892D2" w14:textId="77777777" w:rsidR="00295EDE" w:rsidRPr="00E05581" w:rsidRDefault="00295EDE" w:rsidP="00295EDE">
      <w:pPr>
        <w:pStyle w:val="Heading1"/>
        <w:ind w:left="720" w:hanging="720"/>
        <w:rPr>
          <w:rFonts w:ascii="Arial" w:hAnsi="Arial"/>
          <w:sz w:val="24"/>
          <w:szCs w:val="24"/>
        </w:rPr>
      </w:pPr>
      <w:r w:rsidRPr="00E05581">
        <w:rPr>
          <w:rFonts w:ascii="Arial" w:hAnsi="Arial"/>
          <w:sz w:val="24"/>
          <w:szCs w:val="24"/>
        </w:rPr>
        <w:t>2.2</w:t>
      </w:r>
      <w:r w:rsidRPr="00E05581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I</w:t>
      </w:r>
      <w:r w:rsidRPr="00E05581">
        <w:rPr>
          <w:rFonts w:ascii="Arial" w:hAnsi="Arial"/>
          <w:sz w:val="24"/>
          <w:szCs w:val="24"/>
        </w:rPr>
        <w:t xml:space="preserve">t be noted that </w:t>
      </w:r>
      <w:r>
        <w:rPr>
          <w:rFonts w:ascii="Arial" w:hAnsi="Arial"/>
          <w:sz w:val="24"/>
          <w:szCs w:val="24"/>
        </w:rPr>
        <w:t>t</w:t>
      </w:r>
      <w:r w:rsidRPr="00E05581">
        <w:rPr>
          <w:rFonts w:ascii="Arial" w:hAnsi="Arial"/>
          <w:sz w:val="24"/>
          <w:szCs w:val="24"/>
        </w:rPr>
        <w:t>he following Councillors are</w:t>
      </w:r>
      <w:r>
        <w:rPr>
          <w:rFonts w:ascii="Arial" w:hAnsi="Arial"/>
          <w:sz w:val="24"/>
          <w:szCs w:val="24"/>
        </w:rPr>
        <w:t xml:space="preserve"> </w:t>
      </w:r>
      <w:r w:rsidRPr="00E05581">
        <w:rPr>
          <w:rFonts w:ascii="Arial" w:hAnsi="Arial"/>
          <w:sz w:val="24"/>
          <w:szCs w:val="24"/>
        </w:rPr>
        <w:t>appointed to the Cabinet</w:t>
      </w:r>
      <w:r>
        <w:rPr>
          <w:rFonts w:ascii="Arial" w:hAnsi="Arial"/>
          <w:sz w:val="24"/>
          <w:szCs w:val="24"/>
        </w:rPr>
        <w:t xml:space="preserve"> </w:t>
      </w:r>
      <w:r w:rsidRPr="00E05581">
        <w:rPr>
          <w:rFonts w:ascii="Arial" w:hAnsi="Arial"/>
          <w:sz w:val="24"/>
          <w:szCs w:val="24"/>
        </w:rPr>
        <w:t xml:space="preserve">(Executive) with the </w:t>
      </w:r>
      <w:r>
        <w:rPr>
          <w:rFonts w:ascii="Arial" w:hAnsi="Arial"/>
          <w:sz w:val="24"/>
          <w:szCs w:val="24"/>
        </w:rPr>
        <w:t xml:space="preserve">identified </w:t>
      </w:r>
      <w:r w:rsidRPr="00E05581"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z w:val="24"/>
          <w:szCs w:val="24"/>
        </w:rPr>
        <w:t>t</w:t>
      </w:r>
      <w:r w:rsidRPr="00E05581">
        <w:rPr>
          <w:rFonts w:ascii="Arial" w:hAnsi="Arial"/>
          <w:sz w:val="24"/>
          <w:szCs w:val="24"/>
        </w:rPr>
        <w:t>folios:</w:t>
      </w:r>
    </w:p>
    <w:p w14:paraId="08856619" w14:textId="77777777" w:rsidR="00295EDE" w:rsidRDefault="00295EDE" w:rsidP="00295EDE"/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782"/>
        <w:gridCol w:w="3808"/>
      </w:tblGrid>
      <w:tr w:rsidR="00446DF5" w14:paraId="078585B6" w14:textId="77777777" w:rsidTr="00446DF5">
        <w:tc>
          <w:tcPr>
            <w:tcW w:w="3782" w:type="dxa"/>
          </w:tcPr>
          <w:p w14:paraId="3864927A" w14:textId="761D1515" w:rsid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AE6738">
              <w:rPr>
                <w:rFonts w:cs="Arial"/>
                <w:b/>
              </w:rPr>
              <w:t>Portfoli</w:t>
            </w:r>
            <w:r>
              <w:rPr>
                <w:rFonts w:cs="Arial"/>
                <w:b/>
              </w:rPr>
              <w:t>o</w:t>
            </w:r>
          </w:p>
        </w:tc>
        <w:tc>
          <w:tcPr>
            <w:tcW w:w="3808" w:type="dxa"/>
          </w:tcPr>
          <w:p w14:paraId="05542113" w14:textId="50E7E272" w:rsid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Councillor</w:t>
            </w:r>
          </w:p>
        </w:tc>
      </w:tr>
      <w:tr w:rsidR="00446DF5" w14:paraId="7474588E" w14:textId="77777777" w:rsidTr="00446DF5">
        <w:tc>
          <w:tcPr>
            <w:tcW w:w="3782" w:type="dxa"/>
          </w:tcPr>
          <w:p w14:paraId="28674640" w14:textId="3C326551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Leader of the Council and Portfolio Holder for Strategy</w:t>
            </w:r>
          </w:p>
        </w:tc>
        <w:tc>
          <w:tcPr>
            <w:tcW w:w="3808" w:type="dxa"/>
          </w:tcPr>
          <w:p w14:paraId="1CFEC265" w14:textId="4CA347E8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Councillor Paul Osborn</w:t>
            </w:r>
          </w:p>
        </w:tc>
      </w:tr>
      <w:tr w:rsidR="00446DF5" w14:paraId="03EE3AE5" w14:textId="77777777" w:rsidTr="00446DF5">
        <w:tc>
          <w:tcPr>
            <w:tcW w:w="3782" w:type="dxa"/>
          </w:tcPr>
          <w:p w14:paraId="2E7644CF" w14:textId="3139D99E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Deputy Leader and Portfolio Holder for Planning and Regeneration</w:t>
            </w:r>
          </w:p>
        </w:tc>
        <w:tc>
          <w:tcPr>
            <w:tcW w:w="3808" w:type="dxa"/>
          </w:tcPr>
          <w:p w14:paraId="0A3A918B" w14:textId="4093DC66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Councillor Marilyn Ashton</w:t>
            </w:r>
          </w:p>
        </w:tc>
      </w:tr>
      <w:tr w:rsidR="00446DF5" w14:paraId="5CFE8C7B" w14:textId="77777777" w:rsidTr="00446DF5">
        <w:tc>
          <w:tcPr>
            <w:tcW w:w="3782" w:type="dxa"/>
          </w:tcPr>
          <w:p w14:paraId="65561BE9" w14:textId="3284985C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Portfolio Holder for Adult Services and public Health</w:t>
            </w:r>
          </w:p>
        </w:tc>
        <w:tc>
          <w:tcPr>
            <w:tcW w:w="3808" w:type="dxa"/>
          </w:tcPr>
          <w:p w14:paraId="3379A6BE" w14:textId="4E474C18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Councillor Pritesh Patel</w:t>
            </w:r>
          </w:p>
        </w:tc>
      </w:tr>
      <w:tr w:rsidR="00446DF5" w14:paraId="05E4D0C5" w14:textId="77777777" w:rsidTr="00446DF5">
        <w:tc>
          <w:tcPr>
            <w:tcW w:w="3782" w:type="dxa"/>
          </w:tcPr>
          <w:p w14:paraId="2C603323" w14:textId="240A802D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Portfolio Holder for Business, Employment and Property</w:t>
            </w:r>
          </w:p>
        </w:tc>
        <w:tc>
          <w:tcPr>
            <w:tcW w:w="3808" w:type="dxa"/>
          </w:tcPr>
          <w:p w14:paraId="01968123" w14:textId="22729FD6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Councillor Norman Stevenson</w:t>
            </w:r>
          </w:p>
        </w:tc>
      </w:tr>
      <w:tr w:rsidR="00446DF5" w14:paraId="0DE23200" w14:textId="77777777" w:rsidTr="00446DF5">
        <w:tc>
          <w:tcPr>
            <w:tcW w:w="3782" w:type="dxa"/>
          </w:tcPr>
          <w:p w14:paraId="3629B9C2" w14:textId="69A28B34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Portfolio Holder for Children’s Services</w:t>
            </w:r>
          </w:p>
        </w:tc>
        <w:tc>
          <w:tcPr>
            <w:tcW w:w="3808" w:type="dxa"/>
          </w:tcPr>
          <w:p w14:paraId="79C8228B" w14:textId="4F086D20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Councillor Hitesh Karia</w:t>
            </w:r>
          </w:p>
        </w:tc>
      </w:tr>
      <w:tr w:rsidR="00446DF5" w14:paraId="31012FE9" w14:textId="77777777" w:rsidTr="00446DF5">
        <w:tc>
          <w:tcPr>
            <w:tcW w:w="3782" w:type="dxa"/>
          </w:tcPr>
          <w:p w14:paraId="39A4D516" w14:textId="31B26ACF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Portfolio Holder for Community and Culture</w:t>
            </w:r>
          </w:p>
        </w:tc>
        <w:tc>
          <w:tcPr>
            <w:tcW w:w="3808" w:type="dxa"/>
          </w:tcPr>
          <w:p w14:paraId="038F717B" w14:textId="615CDAD1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Councillor Jean Lammiman</w:t>
            </w:r>
          </w:p>
        </w:tc>
      </w:tr>
      <w:tr w:rsidR="00446DF5" w14:paraId="23D1516E" w14:textId="77777777" w:rsidTr="00446DF5">
        <w:tc>
          <w:tcPr>
            <w:tcW w:w="3782" w:type="dxa"/>
          </w:tcPr>
          <w:p w14:paraId="1597C847" w14:textId="30193437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Portfolio Holder for Environment and Community Safety</w:t>
            </w:r>
          </w:p>
        </w:tc>
        <w:tc>
          <w:tcPr>
            <w:tcW w:w="3808" w:type="dxa"/>
          </w:tcPr>
          <w:p w14:paraId="7AEAFBF8" w14:textId="497ADAA9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Councillor Anjana Patel</w:t>
            </w:r>
          </w:p>
        </w:tc>
      </w:tr>
      <w:tr w:rsidR="00446DF5" w14:paraId="53612E72" w14:textId="77777777" w:rsidTr="00446DF5">
        <w:tc>
          <w:tcPr>
            <w:tcW w:w="3782" w:type="dxa"/>
          </w:tcPr>
          <w:p w14:paraId="65936BCB" w14:textId="472A6B1B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Portfolio Holder for Finance and Human Resources</w:t>
            </w:r>
          </w:p>
        </w:tc>
        <w:tc>
          <w:tcPr>
            <w:tcW w:w="3808" w:type="dxa"/>
          </w:tcPr>
          <w:p w14:paraId="639B2ED9" w14:textId="25DEF1ED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Councillor David Ashton</w:t>
            </w:r>
          </w:p>
        </w:tc>
      </w:tr>
      <w:tr w:rsidR="00446DF5" w14:paraId="5BBC500E" w14:textId="77777777" w:rsidTr="00446DF5">
        <w:tc>
          <w:tcPr>
            <w:tcW w:w="3782" w:type="dxa"/>
          </w:tcPr>
          <w:p w14:paraId="5788C8B6" w14:textId="31E1A2F7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Portfolio Holder for Housing</w:t>
            </w:r>
          </w:p>
        </w:tc>
        <w:tc>
          <w:tcPr>
            <w:tcW w:w="3808" w:type="dxa"/>
          </w:tcPr>
          <w:p w14:paraId="3588CA0E" w14:textId="08274106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Councillor Mina Parmar</w:t>
            </w:r>
          </w:p>
        </w:tc>
      </w:tr>
      <w:tr w:rsidR="00446DF5" w14:paraId="64E37AA0" w14:textId="77777777" w:rsidTr="00446DF5">
        <w:tc>
          <w:tcPr>
            <w:tcW w:w="3782" w:type="dxa"/>
          </w:tcPr>
          <w:p w14:paraId="68813FE2" w14:textId="143B9933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Portfolio Holder for Performance, Communications and Customer Experience</w:t>
            </w:r>
          </w:p>
        </w:tc>
        <w:tc>
          <w:tcPr>
            <w:tcW w:w="3808" w:type="dxa"/>
          </w:tcPr>
          <w:p w14:paraId="417C9EC3" w14:textId="3B8C6F85" w:rsidR="00446DF5" w:rsidRPr="00446DF5" w:rsidRDefault="00446DF5" w:rsidP="00295EDE">
            <w:pPr>
              <w:pStyle w:val="multinumbering"/>
              <w:tabs>
                <w:tab w:val="left" w:pos="709"/>
              </w:tabs>
              <w:rPr>
                <w:rFonts w:cs="Arial"/>
                <w:b/>
              </w:rPr>
            </w:pPr>
            <w:r w:rsidRPr="00446DF5">
              <w:rPr>
                <w:rFonts w:cs="Arial"/>
                <w:b/>
              </w:rPr>
              <w:t>Councillor Stephen Greek</w:t>
            </w:r>
          </w:p>
        </w:tc>
      </w:tr>
    </w:tbl>
    <w:p w14:paraId="15D7BA4C" w14:textId="0176A023" w:rsidR="00295EDE" w:rsidRPr="00E05581" w:rsidRDefault="00295EDE" w:rsidP="00295EDE">
      <w:pPr>
        <w:pStyle w:val="multinumbering"/>
        <w:tabs>
          <w:tab w:val="left" w:pos="709"/>
        </w:tabs>
        <w:ind w:left="709" w:hanging="709"/>
        <w:rPr>
          <w:rFonts w:cs="Arial"/>
          <w:b/>
        </w:rPr>
      </w:pPr>
    </w:p>
    <w:p w14:paraId="1012A411" w14:textId="77777777" w:rsidR="00295EDE" w:rsidRPr="004F32B1" w:rsidRDefault="00295EDE" w:rsidP="00295EDE"/>
    <w:p w14:paraId="362CEB54" w14:textId="77777777" w:rsidR="00295EDE" w:rsidRDefault="00295EDE" w:rsidP="00295EDE">
      <w:pPr>
        <w:ind w:left="720" w:hanging="720"/>
        <w:rPr>
          <w:rFonts w:cs="Arial"/>
        </w:rPr>
      </w:pPr>
      <w:r>
        <w:rPr>
          <w:lang w:val="en-US"/>
        </w:rPr>
        <w:lastRenderedPageBreak/>
        <w:t xml:space="preserve">2.3 </w:t>
      </w:r>
      <w:r>
        <w:rPr>
          <w:lang w:val="en-US"/>
        </w:rPr>
        <w:tab/>
      </w:r>
      <w:r w:rsidRPr="001621BF">
        <w:rPr>
          <w:rFonts w:cs="Arial"/>
          <w:szCs w:val="24"/>
        </w:rPr>
        <w:t>That</w:t>
      </w:r>
      <w:r w:rsidRPr="00E05581">
        <w:rPr>
          <w:rFonts w:cs="Arial"/>
        </w:rPr>
        <w:t xml:space="preserve"> </w:t>
      </w:r>
      <w:r w:rsidRPr="001621BF">
        <w:rPr>
          <w:rFonts w:cs="Arial"/>
          <w:szCs w:val="24"/>
        </w:rPr>
        <w:t>the</w:t>
      </w:r>
      <w:r w:rsidRPr="00E05581">
        <w:rPr>
          <w:rFonts w:cs="Arial"/>
        </w:rPr>
        <w:t xml:space="preserve"> Council determine</w:t>
      </w:r>
      <w:r>
        <w:rPr>
          <w:rFonts w:cs="Arial"/>
        </w:rPr>
        <w:t>s</w:t>
      </w:r>
      <w:r w:rsidRPr="00E05581">
        <w:rPr>
          <w:rFonts w:cs="Arial"/>
        </w:rPr>
        <w:t xml:space="preserve"> the allocation of places on the following committees in accord</w:t>
      </w:r>
      <w:r>
        <w:rPr>
          <w:rFonts w:cs="Arial"/>
        </w:rPr>
        <w:t>ance</w:t>
      </w:r>
      <w:r w:rsidRPr="00E05581">
        <w:rPr>
          <w:rFonts w:cs="Arial"/>
        </w:rPr>
        <w:t xml:space="preserve"> with the “political balance” rules </w:t>
      </w:r>
      <w:r>
        <w:rPr>
          <w:rFonts w:cs="Arial"/>
        </w:rPr>
        <w:t xml:space="preserve">in </w:t>
      </w:r>
      <w:r w:rsidRPr="00E05581">
        <w:rPr>
          <w:rFonts w:cs="Arial"/>
        </w:rPr>
        <w:t xml:space="preserve">the Local Government and Housing Act 1989: </w:t>
      </w:r>
    </w:p>
    <w:p w14:paraId="744CD678" w14:textId="77777777" w:rsidR="00295EDE" w:rsidRPr="00E05581" w:rsidRDefault="00295EDE" w:rsidP="00295EDE">
      <w:pPr>
        <w:pStyle w:val="multinumbering"/>
        <w:tabs>
          <w:tab w:val="left" w:pos="709"/>
        </w:tabs>
        <w:spacing w:after="0"/>
        <w:ind w:left="709" w:hanging="709"/>
        <w:rPr>
          <w:rFonts w:cs="Arial"/>
        </w:rPr>
      </w:pPr>
    </w:p>
    <w:tbl>
      <w:tblPr>
        <w:tblW w:w="8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1085"/>
        <w:gridCol w:w="1724"/>
        <w:gridCol w:w="1580"/>
        <w:gridCol w:w="1643"/>
      </w:tblGrid>
      <w:tr w:rsidR="00295EDE" w:rsidRPr="00295EDE" w14:paraId="3F986799" w14:textId="77777777" w:rsidTr="000520D0">
        <w:tc>
          <w:tcPr>
            <w:tcW w:w="2372" w:type="dxa"/>
            <w:shd w:val="clear" w:color="auto" w:fill="auto"/>
          </w:tcPr>
          <w:p w14:paraId="42CCBB72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rPr>
                <w:rFonts w:cs="Arial"/>
              </w:rPr>
            </w:pPr>
            <w:r w:rsidRPr="00295EDE">
              <w:rPr>
                <w:rFonts w:cs="Arial"/>
                <w:b/>
              </w:rPr>
              <w:t>Committee</w:t>
            </w:r>
          </w:p>
        </w:tc>
        <w:tc>
          <w:tcPr>
            <w:tcW w:w="1144" w:type="dxa"/>
            <w:shd w:val="clear" w:color="auto" w:fill="auto"/>
          </w:tcPr>
          <w:p w14:paraId="433FD603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95EDE">
              <w:rPr>
                <w:rFonts w:cs="Arial"/>
                <w:b/>
              </w:rPr>
              <w:t>Size</w:t>
            </w:r>
          </w:p>
        </w:tc>
        <w:tc>
          <w:tcPr>
            <w:tcW w:w="1724" w:type="dxa"/>
            <w:shd w:val="clear" w:color="auto" w:fill="auto"/>
          </w:tcPr>
          <w:p w14:paraId="03020384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95EDE">
              <w:rPr>
                <w:rFonts w:cs="Arial"/>
                <w:b/>
              </w:rPr>
              <w:t>Conservative</w:t>
            </w:r>
          </w:p>
          <w:p w14:paraId="7F4D8AEF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95EDE">
              <w:rPr>
                <w:rFonts w:cs="Arial"/>
                <w:b/>
              </w:rPr>
              <w:t>Group</w:t>
            </w:r>
          </w:p>
          <w:p w14:paraId="5CD7E491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</w:rPr>
            </w:pPr>
            <w:r w:rsidRPr="00295EDE">
              <w:rPr>
                <w:rFonts w:cs="Arial"/>
                <w:b/>
              </w:rPr>
              <w:t>31</w:t>
            </w:r>
          </w:p>
        </w:tc>
        <w:tc>
          <w:tcPr>
            <w:tcW w:w="1664" w:type="dxa"/>
            <w:shd w:val="clear" w:color="auto" w:fill="auto"/>
          </w:tcPr>
          <w:p w14:paraId="61687540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95EDE">
              <w:rPr>
                <w:rFonts w:cs="Arial"/>
                <w:b/>
              </w:rPr>
              <w:t>Labour</w:t>
            </w:r>
          </w:p>
          <w:p w14:paraId="7F670BA3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95EDE">
              <w:rPr>
                <w:rFonts w:cs="Arial"/>
                <w:b/>
              </w:rPr>
              <w:t>Group</w:t>
            </w:r>
          </w:p>
          <w:p w14:paraId="2F3661EE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</w:rPr>
            </w:pPr>
            <w:r w:rsidRPr="00295EDE">
              <w:rPr>
                <w:rFonts w:cs="Arial"/>
                <w:b/>
              </w:rPr>
              <w:t>23</w:t>
            </w:r>
          </w:p>
        </w:tc>
        <w:tc>
          <w:tcPr>
            <w:tcW w:w="1400" w:type="dxa"/>
          </w:tcPr>
          <w:p w14:paraId="5457A8B9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95EDE">
              <w:rPr>
                <w:rFonts w:cs="Arial"/>
                <w:b/>
              </w:rPr>
              <w:t>Independent</w:t>
            </w:r>
          </w:p>
          <w:p w14:paraId="41F0A310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</w:p>
          <w:p w14:paraId="47AC7F31" w14:textId="77777777" w:rsidR="00295EDE" w:rsidRPr="00295EDE" w:rsidRDefault="00295EDE" w:rsidP="000520D0">
            <w:pPr>
              <w:pStyle w:val="multinumbering"/>
              <w:tabs>
                <w:tab w:val="left" w:pos="709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295EDE">
              <w:rPr>
                <w:rFonts w:cs="Arial"/>
                <w:b/>
              </w:rPr>
              <w:t>1</w:t>
            </w:r>
          </w:p>
        </w:tc>
      </w:tr>
      <w:tr w:rsidR="00295EDE" w:rsidRPr="00AE6738" w14:paraId="5DEA4A73" w14:textId="77777777" w:rsidTr="000520D0">
        <w:tc>
          <w:tcPr>
            <w:tcW w:w="2372" w:type="dxa"/>
            <w:shd w:val="clear" w:color="auto" w:fill="auto"/>
          </w:tcPr>
          <w:p w14:paraId="54CB2888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ind w:left="709" w:hanging="709"/>
              <w:rPr>
                <w:rFonts w:cs="Arial"/>
              </w:rPr>
            </w:pPr>
            <w:r w:rsidRPr="00AE6738">
              <w:rPr>
                <w:rFonts w:cs="Arial"/>
              </w:rPr>
              <w:t xml:space="preserve">Governance, Audit, </w:t>
            </w:r>
          </w:p>
          <w:p w14:paraId="10DEBBFB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Risk Management and Standards</w:t>
            </w:r>
          </w:p>
          <w:p w14:paraId="4BDE461A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144" w:type="dxa"/>
            <w:shd w:val="clear" w:color="auto" w:fill="auto"/>
          </w:tcPr>
          <w:p w14:paraId="29343CF2" w14:textId="77777777" w:rsidR="00295EDE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</w:p>
          <w:p w14:paraId="5412E029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724" w:type="dxa"/>
            <w:shd w:val="clear" w:color="auto" w:fill="auto"/>
          </w:tcPr>
          <w:p w14:paraId="732E7356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</w:p>
          <w:p w14:paraId="580BA067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14:paraId="51157A7D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</w:p>
          <w:p w14:paraId="4008FCE7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3</w:t>
            </w:r>
          </w:p>
        </w:tc>
        <w:tc>
          <w:tcPr>
            <w:tcW w:w="1400" w:type="dxa"/>
          </w:tcPr>
          <w:p w14:paraId="33DB0E8C" w14:textId="77777777" w:rsidR="00295EDE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</w:p>
          <w:p w14:paraId="75C9E886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95EDE" w:rsidRPr="00AE6738" w14:paraId="571725D1" w14:textId="77777777" w:rsidTr="000520D0">
        <w:tc>
          <w:tcPr>
            <w:tcW w:w="2372" w:type="dxa"/>
            <w:shd w:val="clear" w:color="auto" w:fill="auto"/>
          </w:tcPr>
          <w:p w14:paraId="0036FBAB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Planning</w:t>
            </w:r>
          </w:p>
          <w:p w14:paraId="58617316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144" w:type="dxa"/>
            <w:shd w:val="clear" w:color="auto" w:fill="auto"/>
          </w:tcPr>
          <w:p w14:paraId="2D88F407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724" w:type="dxa"/>
            <w:shd w:val="clear" w:color="auto" w:fill="auto"/>
          </w:tcPr>
          <w:p w14:paraId="7A067B05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14:paraId="65AA5DC9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3</w:t>
            </w:r>
          </w:p>
        </w:tc>
        <w:tc>
          <w:tcPr>
            <w:tcW w:w="1400" w:type="dxa"/>
          </w:tcPr>
          <w:p w14:paraId="53DCC24F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95EDE" w:rsidRPr="00AE6738" w14:paraId="0B1E9272" w14:textId="77777777" w:rsidTr="000520D0">
        <w:tc>
          <w:tcPr>
            <w:tcW w:w="2372" w:type="dxa"/>
            <w:shd w:val="clear" w:color="auto" w:fill="auto"/>
          </w:tcPr>
          <w:p w14:paraId="2E12A9F4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Overview and Scrutiny</w:t>
            </w:r>
          </w:p>
          <w:p w14:paraId="1D0EC61E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144" w:type="dxa"/>
            <w:shd w:val="clear" w:color="auto" w:fill="auto"/>
          </w:tcPr>
          <w:p w14:paraId="5AD32385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724" w:type="dxa"/>
            <w:shd w:val="clear" w:color="auto" w:fill="auto"/>
          </w:tcPr>
          <w:p w14:paraId="71068F1D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14:paraId="23AD37A9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4</w:t>
            </w:r>
          </w:p>
        </w:tc>
        <w:tc>
          <w:tcPr>
            <w:tcW w:w="1400" w:type="dxa"/>
          </w:tcPr>
          <w:p w14:paraId="473D0611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95EDE" w:rsidRPr="00AE6738" w14:paraId="30D65E5A" w14:textId="77777777" w:rsidTr="000520D0">
        <w:tc>
          <w:tcPr>
            <w:tcW w:w="2372" w:type="dxa"/>
            <w:shd w:val="clear" w:color="auto" w:fill="auto"/>
          </w:tcPr>
          <w:p w14:paraId="2EE4D1D8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Pension Fund Committee</w:t>
            </w:r>
          </w:p>
          <w:p w14:paraId="1B530850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144" w:type="dxa"/>
            <w:shd w:val="clear" w:color="auto" w:fill="auto"/>
          </w:tcPr>
          <w:p w14:paraId="5B72AB6B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24" w:type="dxa"/>
            <w:shd w:val="clear" w:color="auto" w:fill="auto"/>
          </w:tcPr>
          <w:p w14:paraId="59271737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14:paraId="4BB26FAC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2</w:t>
            </w:r>
          </w:p>
        </w:tc>
        <w:tc>
          <w:tcPr>
            <w:tcW w:w="1400" w:type="dxa"/>
          </w:tcPr>
          <w:p w14:paraId="1772F965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95EDE" w:rsidRPr="00AE6738" w14:paraId="7329F323" w14:textId="77777777" w:rsidTr="000520D0">
        <w:tc>
          <w:tcPr>
            <w:tcW w:w="2372" w:type="dxa"/>
            <w:shd w:val="clear" w:color="auto" w:fill="auto"/>
          </w:tcPr>
          <w:p w14:paraId="2AEE6130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 xml:space="preserve">Licensing and General Purposes Committee </w:t>
            </w:r>
          </w:p>
          <w:p w14:paraId="161334A6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144" w:type="dxa"/>
            <w:shd w:val="clear" w:color="auto" w:fill="auto"/>
          </w:tcPr>
          <w:p w14:paraId="79D77F58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724" w:type="dxa"/>
            <w:shd w:val="clear" w:color="auto" w:fill="auto"/>
          </w:tcPr>
          <w:p w14:paraId="5B3D5844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664" w:type="dxa"/>
            <w:shd w:val="clear" w:color="auto" w:fill="auto"/>
          </w:tcPr>
          <w:p w14:paraId="5B7007F0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7</w:t>
            </w:r>
          </w:p>
        </w:tc>
        <w:tc>
          <w:tcPr>
            <w:tcW w:w="1400" w:type="dxa"/>
          </w:tcPr>
          <w:p w14:paraId="73ED56DB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95EDE" w:rsidRPr="00AE6738" w14:paraId="25D79FD7" w14:textId="77777777" w:rsidTr="000520D0">
        <w:tc>
          <w:tcPr>
            <w:tcW w:w="2372" w:type="dxa"/>
            <w:shd w:val="clear" w:color="auto" w:fill="auto"/>
          </w:tcPr>
          <w:p w14:paraId="2B616EFE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 w:rsidRPr="00AE6738">
              <w:rPr>
                <w:rFonts w:cs="Arial"/>
              </w:rPr>
              <w:t>SACRE</w:t>
            </w:r>
          </w:p>
          <w:p w14:paraId="53EBC1B1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144" w:type="dxa"/>
            <w:shd w:val="clear" w:color="auto" w:fill="auto"/>
          </w:tcPr>
          <w:p w14:paraId="16727EB7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24" w:type="dxa"/>
            <w:shd w:val="clear" w:color="auto" w:fill="auto"/>
          </w:tcPr>
          <w:p w14:paraId="4173FD09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14:paraId="19BF11D9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1</w:t>
            </w:r>
          </w:p>
        </w:tc>
        <w:tc>
          <w:tcPr>
            <w:tcW w:w="1400" w:type="dxa"/>
          </w:tcPr>
          <w:p w14:paraId="521C6190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95EDE" w:rsidRPr="00AE6738" w14:paraId="0EB35839" w14:textId="77777777" w:rsidTr="000520D0">
        <w:tc>
          <w:tcPr>
            <w:tcW w:w="2372" w:type="dxa"/>
            <w:shd w:val="clear" w:color="auto" w:fill="auto"/>
          </w:tcPr>
          <w:p w14:paraId="5C1BBC5E" w14:textId="77777777" w:rsidR="00295EDE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Pension Board</w:t>
            </w:r>
          </w:p>
          <w:p w14:paraId="2F164402" w14:textId="77777777" w:rsidR="00295EDE" w:rsidRPr="00AE6738" w:rsidRDefault="00295EDE" w:rsidP="000520D0">
            <w:pPr>
              <w:pStyle w:val="multinumbering"/>
              <w:tabs>
                <w:tab w:val="left" w:pos="709"/>
              </w:tabs>
              <w:spacing w:after="0"/>
              <w:rPr>
                <w:rFonts w:cs="Arial"/>
              </w:rPr>
            </w:pPr>
          </w:p>
        </w:tc>
        <w:tc>
          <w:tcPr>
            <w:tcW w:w="1144" w:type="dxa"/>
            <w:shd w:val="clear" w:color="auto" w:fill="auto"/>
          </w:tcPr>
          <w:p w14:paraId="043BBCC0" w14:textId="77777777" w:rsidR="00295EDE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14:paraId="02C4B1D3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14:paraId="4EE6953D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 w:rsidRPr="00420268">
              <w:rPr>
                <w:rFonts w:cs="Arial"/>
              </w:rPr>
              <w:t>0</w:t>
            </w:r>
          </w:p>
        </w:tc>
        <w:tc>
          <w:tcPr>
            <w:tcW w:w="1400" w:type="dxa"/>
          </w:tcPr>
          <w:p w14:paraId="7EF817BB" w14:textId="77777777" w:rsidR="00295EDE" w:rsidRPr="00420268" w:rsidRDefault="00295EDE" w:rsidP="000520D0">
            <w:pPr>
              <w:pStyle w:val="multinumbering"/>
              <w:tabs>
                <w:tab w:val="left" w:pos="709"/>
              </w:tabs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14:paraId="114C3CC8" w14:textId="77777777" w:rsidR="00295EDE" w:rsidRDefault="00295EDE" w:rsidP="00295EDE"/>
    <w:p w14:paraId="34C46F5E" w14:textId="77777777" w:rsidR="00295EDE" w:rsidRPr="00E05581" w:rsidRDefault="00295EDE" w:rsidP="00295EDE">
      <w:pPr>
        <w:pStyle w:val="multinumbering"/>
        <w:tabs>
          <w:tab w:val="left" w:pos="709"/>
        </w:tabs>
        <w:spacing w:after="0"/>
        <w:ind w:left="709" w:hanging="709"/>
        <w:rPr>
          <w:rFonts w:cs="Arial"/>
        </w:rPr>
      </w:pPr>
      <w:r w:rsidRPr="00E05581">
        <w:rPr>
          <w:rFonts w:cs="Arial"/>
        </w:rPr>
        <w:tab/>
      </w:r>
      <w:r w:rsidRPr="00BC5F86">
        <w:rPr>
          <w:rFonts w:cs="Arial"/>
          <w:b/>
        </w:rPr>
        <w:t>and</w:t>
      </w:r>
      <w:r w:rsidRPr="00E05581">
        <w:rPr>
          <w:rFonts w:cs="Arial"/>
        </w:rPr>
        <w:t xml:space="preserve"> </w:t>
      </w:r>
      <w:r>
        <w:rPr>
          <w:rFonts w:cs="Arial"/>
        </w:rPr>
        <w:t xml:space="preserve">appoint </w:t>
      </w:r>
      <w:r w:rsidRPr="00E05581">
        <w:rPr>
          <w:rFonts w:cs="Arial"/>
        </w:rPr>
        <w:t xml:space="preserve">Members </w:t>
      </w:r>
      <w:r>
        <w:rPr>
          <w:rFonts w:cs="Arial"/>
        </w:rPr>
        <w:t>t</w:t>
      </w:r>
      <w:r w:rsidRPr="00E05581">
        <w:rPr>
          <w:rFonts w:cs="Arial"/>
        </w:rPr>
        <w:t xml:space="preserve">o them, </w:t>
      </w:r>
      <w:r>
        <w:rPr>
          <w:rFonts w:cs="Arial"/>
        </w:rPr>
        <w:t xml:space="preserve">in accordance with the notification from Political Groups; </w:t>
      </w:r>
      <w:r w:rsidRPr="00E05581">
        <w:rPr>
          <w:rFonts w:cs="Arial"/>
          <w:b/>
        </w:rPr>
        <w:t xml:space="preserve">    </w:t>
      </w:r>
    </w:p>
    <w:p w14:paraId="6EF13127" w14:textId="77777777" w:rsidR="00295EDE" w:rsidRPr="00E05581" w:rsidRDefault="00295EDE" w:rsidP="00295EDE">
      <w:pPr>
        <w:pStyle w:val="multinumbering"/>
        <w:tabs>
          <w:tab w:val="left" w:pos="709"/>
        </w:tabs>
        <w:spacing w:after="0"/>
        <w:ind w:left="709" w:hanging="709"/>
        <w:jc w:val="both"/>
        <w:rPr>
          <w:rFonts w:cs="Arial"/>
        </w:rPr>
      </w:pPr>
      <w:r w:rsidRPr="00E05581">
        <w:rPr>
          <w:rFonts w:cs="Arial"/>
          <w:b/>
        </w:rPr>
        <w:tab/>
      </w:r>
    </w:p>
    <w:p w14:paraId="35F7945D" w14:textId="77777777" w:rsidR="00295EDE" w:rsidRDefault="00295EDE" w:rsidP="00295EDE">
      <w:pPr>
        <w:ind w:left="720" w:hanging="720"/>
        <w:rPr>
          <w:rFonts w:cs="Arial"/>
        </w:rPr>
      </w:pPr>
      <w:r>
        <w:rPr>
          <w:rFonts w:cs="Arial"/>
        </w:rPr>
        <w:t>2.4</w:t>
      </w:r>
      <w:r>
        <w:rPr>
          <w:rFonts w:cs="Arial"/>
        </w:rPr>
        <w:tab/>
        <w:t xml:space="preserve">That </w:t>
      </w:r>
      <w:r w:rsidRPr="00E05581">
        <w:rPr>
          <w:rFonts w:cs="Arial"/>
        </w:rPr>
        <w:t>the</w:t>
      </w:r>
      <w:r>
        <w:rPr>
          <w:rFonts w:cs="Arial"/>
        </w:rPr>
        <w:t xml:space="preserve"> establishment and</w:t>
      </w:r>
      <w:r w:rsidRPr="00E05581">
        <w:rPr>
          <w:rFonts w:cs="Arial"/>
        </w:rPr>
        <w:t xml:space="preserve"> terms of reference of all the above Committees</w:t>
      </w:r>
      <w:r>
        <w:rPr>
          <w:rFonts w:cs="Arial"/>
        </w:rPr>
        <w:t xml:space="preserve"> and other bodies, as set out in the Appendix </w:t>
      </w:r>
      <w:r w:rsidRPr="00E05581">
        <w:rPr>
          <w:rFonts w:cs="Arial"/>
        </w:rPr>
        <w:t>be agreed</w:t>
      </w:r>
      <w:r>
        <w:rPr>
          <w:rFonts w:cs="Arial"/>
        </w:rPr>
        <w:t xml:space="preserve">; </w:t>
      </w:r>
    </w:p>
    <w:p w14:paraId="76037C8A" w14:textId="77777777" w:rsidR="00295EDE" w:rsidRDefault="00295EDE" w:rsidP="00295EDE">
      <w:pPr>
        <w:ind w:left="720" w:hanging="720"/>
        <w:jc w:val="both"/>
        <w:rPr>
          <w:rFonts w:cs="Arial"/>
        </w:rPr>
      </w:pPr>
    </w:p>
    <w:p w14:paraId="7ECDA248" w14:textId="77777777" w:rsidR="00295EDE" w:rsidRPr="00E05581" w:rsidRDefault="00295EDE" w:rsidP="00295EDE">
      <w:pPr>
        <w:tabs>
          <w:tab w:val="left" w:pos="567"/>
        </w:tabs>
        <w:autoSpaceDE w:val="0"/>
        <w:autoSpaceDN w:val="0"/>
        <w:adjustRightInd w:val="0"/>
        <w:ind w:left="567" w:hanging="567"/>
        <w:rPr>
          <w:rFonts w:cs="Arial"/>
          <w:szCs w:val="24"/>
          <w:lang w:val="en-US"/>
        </w:rPr>
      </w:pPr>
    </w:p>
    <w:p w14:paraId="31D79094" w14:textId="77777777" w:rsidR="00295EDE" w:rsidRPr="001621BF" w:rsidRDefault="00295EDE" w:rsidP="00295EDE">
      <w:pPr>
        <w:pStyle w:val="Infotext"/>
        <w:rPr>
          <w:rFonts w:ascii="Arial Bold" w:hAnsi="Arial Bold" w:cs="Arial"/>
          <w:b/>
          <w:szCs w:val="24"/>
        </w:rPr>
      </w:pPr>
      <w:r w:rsidRPr="001621BF">
        <w:rPr>
          <w:rFonts w:ascii="Arial Bold" w:hAnsi="Arial Bold" w:cs="Arial"/>
          <w:b/>
          <w:szCs w:val="24"/>
        </w:rPr>
        <w:t xml:space="preserve">Contact:  </w:t>
      </w:r>
    </w:p>
    <w:p w14:paraId="35D25150" w14:textId="77777777" w:rsidR="00295EDE" w:rsidRPr="00E05581" w:rsidRDefault="00295EDE" w:rsidP="00295EDE">
      <w:pPr>
        <w:pStyle w:val="Info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Vishal Seegoolam</w:t>
      </w:r>
      <w:r w:rsidRPr="00E05581">
        <w:rPr>
          <w:rFonts w:cs="Arial"/>
          <w:sz w:val="24"/>
          <w:szCs w:val="24"/>
        </w:rPr>
        <w:t xml:space="preserve">, Democratic &amp; Electoral </w:t>
      </w:r>
      <w:r>
        <w:rPr>
          <w:rFonts w:cs="Arial"/>
          <w:sz w:val="24"/>
          <w:szCs w:val="24"/>
        </w:rPr>
        <w:t xml:space="preserve">and Registration </w:t>
      </w:r>
      <w:r w:rsidRPr="00E05581">
        <w:rPr>
          <w:rFonts w:cs="Arial"/>
          <w:sz w:val="24"/>
          <w:szCs w:val="24"/>
        </w:rPr>
        <w:t>Services Manager</w:t>
      </w:r>
    </w:p>
    <w:p w14:paraId="608631D8" w14:textId="77777777" w:rsidR="00295EDE" w:rsidRPr="00616873" w:rsidRDefault="00295EDE" w:rsidP="00295EDE">
      <w:pPr>
        <w:rPr>
          <w:rFonts w:cs="Arial"/>
          <w:szCs w:val="24"/>
          <w:lang w:val="fr-FR"/>
        </w:rPr>
      </w:pPr>
      <w:r w:rsidRPr="00616873">
        <w:rPr>
          <w:rFonts w:cs="Arial"/>
          <w:szCs w:val="24"/>
          <w:lang w:val="fr-FR"/>
        </w:rPr>
        <w:t xml:space="preserve">E-mail: </w:t>
      </w:r>
      <w:hyperlink r:id="rId8" w:history="1">
        <w:r w:rsidRPr="00616873">
          <w:rPr>
            <w:rStyle w:val="Hyperlink"/>
            <w:rFonts w:cs="Arial"/>
            <w:szCs w:val="24"/>
            <w:lang w:val="fr-FR"/>
          </w:rPr>
          <w:t>vishal.seegoolam@harrow.gov.uk</w:t>
        </w:r>
      </w:hyperlink>
    </w:p>
    <w:p w14:paraId="173305C3" w14:textId="77777777" w:rsidR="00295EDE" w:rsidRPr="00616873" w:rsidRDefault="00295EDE" w:rsidP="00295EDE">
      <w:pPr>
        <w:rPr>
          <w:rFonts w:cs="Arial"/>
          <w:lang w:val="fr-FR"/>
        </w:rPr>
      </w:pPr>
    </w:p>
    <w:p w14:paraId="1B70B899" w14:textId="77777777" w:rsidR="00295EDE" w:rsidRPr="00616873" w:rsidRDefault="00295EDE" w:rsidP="00295EDE">
      <w:pPr>
        <w:pStyle w:val="Infotext"/>
        <w:rPr>
          <w:b/>
          <w:sz w:val="24"/>
          <w:szCs w:val="24"/>
          <w:lang w:val="fr-FR"/>
        </w:rPr>
      </w:pPr>
      <w:r w:rsidRPr="00616873">
        <w:rPr>
          <w:b/>
          <w:lang w:val="fr-FR"/>
        </w:rPr>
        <w:t xml:space="preserve">Background Papers:  </w:t>
      </w:r>
    </w:p>
    <w:p w14:paraId="4E66863F" w14:textId="77777777" w:rsidR="00295EDE" w:rsidRPr="00616873" w:rsidRDefault="00295EDE" w:rsidP="00295EDE">
      <w:pPr>
        <w:pStyle w:val="Infotext"/>
        <w:rPr>
          <w:lang w:val="fr-FR"/>
        </w:rPr>
      </w:pPr>
      <w:r w:rsidRPr="00616873">
        <w:rPr>
          <w:lang w:val="fr-FR"/>
        </w:rPr>
        <w:t>Constitution</w:t>
      </w:r>
    </w:p>
    <w:p w14:paraId="4E38EF5C" w14:textId="77777777" w:rsidR="00295EDE" w:rsidRPr="00616873" w:rsidRDefault="00295EDE" w:rsidP="00295EDE">
      <w:pPr>
        <w:rPr>
          <w:rFonts w:cs="Arial"/>
          <w:sz w:val="14"/>
          <w:szCs w:val="16"/>
          <w:lang w:val="fr-FR"/>
        </w:rPr>
      </w:pPr>
    </w:p>
    <w:p w14:paraId="5716DBB8" w14:textId="77777777" w:rsidR="00295EDE" w:rsidRPr="00446DF5" w:rsidRDefault="00295EDE" w:rsidP="00A160B2">
      <w:pPr>
        <w:spacing w:after="480"/>
        <w:rPr>
          <w:rFonts w:cs="Arial"/>
          <w:lang w:val="fr-FR"/>
        </w:rPr>
      </w:pPr>
    </w:p>
    <w:sectPr w:rsidR="00295EDE" w:rsidRPr="00446DF5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ABB"/>
    <w:multiLevelType w:val="multilevel"/>
    <w:tmpl w:val="19986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3282926"/>
    <w:multiLevelType w:val="multilevel"/>
    <w:tmpl w:val="9732F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27A79"/>
    <w:multiLevelType w:val="hybridMultilevel"/>
    <w:tmpl w:val="76BEC3A2"/>
    <w:lvl w:ilvl="0" w:tplc="DC6E1206">
      <w:start w:val="1"/>
      <w:numFmt w:val="bullet"/>
      <w:lvlText w:val=""/>
      <w:lvlJc w:val="left"/>
      <w:pPr>
        <w:tabs>
          <w:tab w:val="num" w:pos="1400"/>
        </w:tabs>
        <w:ind w:left="1400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B504D"/>
    <w:multiLevelType w:val="multilevel"/>
    <w:tmpl w:val="9D24FA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C132A"/>
    <w:multiLevelType w:val="multilevel"/>
    <w:tmpl w:val="E5906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75500">
    <w:abstractNumId w:val="18"/>
  </w:num>
  <w:num w:numId="2" w16cid:durableId="1725520771">
    <w:abstractNumId w:val="12"/>
  </w:num>
  <w:num w:numId="3" w16cid:durableId="1375886289">
    <w:abstractNumId w:val="16"/>
  </w:num>
  <w:num w:numId="4" w16cid:durableId="1707171038">
    <w:abstractNumId w:val="1"/>
  </w:num>
  <w:num w:numId="5" w16cid:durableId="1966265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894466">
    <w:abstractNumId w:val="7"/>
  </w:num>
  <w:num w:numId="7" w16cid:durableId="1550334758">
    <w:abstractNumId w:val="8"/>
  </w:num>
  <w:num w:numId="8" w16cid:durableId="720791984">
    <w:abstractNumId w:val="4"/>
  </w:num>
  <w:num w:numId="9" w16cid:durableId="1608199342">
    <w:abstractNumId w:val="3"/>
  </w:num>
  <w:num w:numId="10" w16cid:durableId="675425416">
    <w:abstractNumId w:val="15"/>
  </w:num>
  <w:num w:numId="11" w16cid:durableId="1408117387">
    <w:abstractNumId w:val="20"/>
  </w:num>
  <w:num w:numId="12" w16cid:durableId="10374368">
    <w:abstractNumId w:val="13"/>
  </w:num>
  <w:num w:numId="13" w16cid:durableId="2026244752">
    <w:abstractNumId w:val="2"/>
  </w:num>
  <w:num w:numId="14" w16cid:durableId="399404334">
    <w:abstractNumId w:val="6"/>
  </w:num>
  <w:num w:numId="15" w16cid:durableId="625893092">
    <w:abstractNumId w:val="11"/>
  </w:num>
  <w:num w:numId="16" w16cid:durableId="670060555">
    <w:abstractNumId w:val="9"/>
  </w:num>
  <w:num w:numId="17" w16cid:durableId="187372382">
    <w:abstractNumId w:val="19"/>
  </w:num>
  <w:num w:numId="18" w16cid:durableId="1119761003">
    <w:abstractNumId w:val="10"/>
  </w:num>
  <w:num w:numId="19" w16cid:durableId="1163545557">
    <w:abstractNumId w:val="14"/>
  </w:num>
  <w:num w:numId="20" w16cid:durableId="2009936695">
    <w:abstractNumId w:val="5"/>
  </w:num>
  <w:num w:numId="21" w16cid:durableId="3501045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99E"/>
    <w:rsid w:val="00023F4C"/>
    <w:rsid w:val="00057F10"/>
    <w:rsid w:val="000633A2"/>
    <w:rsid w:val="00071EB4"/>
    <w:rsid w:val="00077298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E0219"/>
    <w:rsid w:val="00213BE7"/>
    <w:rsid w:val="00231A1D"/>
    <w:rsid w:val="00244120"/>
    <w:rsid w:val="00293F9F"/>
    <w:rsid w:val="00295EDE"/>
    <w:rsid w:val="002A2389"/>
    <w:rsid w:val="002C08E2"/>
    <w:rsid w:val="002C1794"/>
    <w:rsid w:val="002D2FC5"/>
    <w:rsid w:val="002E6637"/>
    <w:rsid w:val="002E77E3"/>
    <w:rsid w:val="00332947"/>
    <w:rsid w:val="00333EB4"/>
    <w:rsid w:val="00345915"/>
    <w:rsid w:val="00365D29"/>
    <w:rsid w:val="00374F22"/>
    <w:rsid w:val="003D2FFE"/>
    <w:rsid w:val="00400032"/>
    <w:rsid w:val="0042394B"/>
    <w:rsid w:val="00435070"/>
    <w:rsid w:val="00446DF5"/>
    <w:rsid w:val="00473B08"/>
    <w:rsid w:val="00474B5F"/>
    <w:rsid w:val="004865F0"/>
    <w:rsid w:val="004A3CE6"/>
    <w:rsid w:val="004A4A1D"/>
    <w:rsid w:val="004B2C9D"/>
    <w:rsid w:val="004B4A47"/>
    <w:rsid w:val="004E667D"/>
    <w:rsid w:val="004E6AF9"/>
    <w:rsid w:val="005031DF"/>
    <w:rsid w:val="00570F59"/>
    <w:rsid w:val="00597314"/>
    <w:rsid w:val="005A61AF"/>
    <w:rsid w:val="005C627B"/>
    <w:rsid w:val="005D0886"/>
    <w:rsid w:val="005E384D"/>
    <w:rsid w:val="005F2181"/>
    <w:rsid w:val="005F724B"/>
    <w:rsid w:val="00625DFF"/>
    <w:rsid w:val="0063072B"/>
    <w:rsid w:val="00662891"/>
    <w:rsid w:val="006628B7"/>
    <w:rsid w:val="00675FCB"/>
    <w:rsid w:val="006A0B87"/>
    <w:rsid w:val="006B3942"/>
    <w:rsid w:val="006C0394"/>
    <w:rsid w:val="006C3914"/>
    <w:rsid w:val="006D3648"/>
    <w:rsid w:val="0074184E"/>
    <w:rsid w:val="00743829"/>
    <w:rsid w:val="00755F8D"/>
    <w:rsid w:val="00796503"/>
    <w:rsid w:val="007D2BDA"/>
    <w:rsid w:val="007D56C8"/>
    <w:rsid w:val="007E3934"/>
    <w:rsid w:val="007E7303"/>
    <w:rsid w:val="00804B7F"/>
    <w:rsid w:val="008212A0"/>
    <w:rsid w:val="00837F53"/>
    <w:rsid w:val="008D1750"/>
    <w:rsid w:val="008D7800"/>
    <w:rsid w:val="008E2910"/>
    <w:rsid w:val="008E4913"/>
    <w:rsid w:val="00900464"/>
    <w:rsid w:val="0090100E"/>
    <w:rsid w:val="00912904"/>
    <w:rsid w:val="00932DFC"/>
    <w:rsid w:val="0093767E"/>
    <w:rsid w:val="00972A02"/>
    <w:rsid w:val="0099517C"/>
    <w:rsid w:val="009A0937"/>
    <w:rsid w:val="009B2ECD"/>
    <w:rsid w:val="009B7914"/>
    <w:rsid w:val="009F430B"/>
    <w:rsid w:val="00A160B2"/>
    <w:rsid w:val="00A566E7"/>
    <w:rsid w:val="00A940D3"/>
    <w:rsid w:val="00A96FCA"/>
    <w:rsid w:val="00AA4BE8"/>
    <w:rsid w:val="00AA7805"/>
    <w:rsid w:val="00AC0AAB"/>
    <w:rsid w:val="00AC7BA9"/>
    <w:rsid w:val="00B0425E"/>
    <w:rsid w:val="00B900E2"/>
    <w:rsid w:val="00B9118E"/>
    <w:rsid w:val="00BA35EA"/>
    <w:rsid w:val="00BD6115"/>
    <w:rsid w:val="00BD684A"/>
    <w:rsid w:val="00C32DAE"/>
    <w:rsid w:val="00C40E24"/>
    <w:rsid w:val="00C61B80"/>
    <w:rsid w:val="00C92D9A"/>
    <w:rsid w:val="00C96EF5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849ED"/>
    <w:rsid w:val="00F92398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0F59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70F59"/>
  </w:style>
  <w:style w:type="character" w:customStyle="1" w:styleId="eop">
    <w:name w:val="eop"/>
    <w:basedOn w:val="DefaultParagraphFont"/>
    <w:rsid w:val="00570F59"/>
  </w:style>
  <w:style w:type="paragraph" w:customStyle="1" w:styleId="StyleListParagraphBold">
    <w:name w:val="Style List Paragraph + Bold"/>
    <w:basedOn w:val="ListParagraph"/>
    <w:rsid w:val="00435070"/>
    <w:rPr>
      <w:b/>
      <w:bCs/>
      <w:sz w:val="24"/>
    </w:rPr>
  </w:style>
  <w:style w:type="paragraph" w:customStyle="1" w:styleId="multinumbering">
    <w:name w:val="multi_numbering"/>
    <w:basedOn w:val="Normal"/>
    <w:rsid w:val="00295EDE"/>
    <w:pPr>
      <w:spacing w:after="240"/>
    </w:pPr>
    <w:rPr>
      <w:szCs w:val="24"/>
    </w:rPr>
  </w:style>
  <w:style w:type="character" w:customStyle="1" w:styleId="HeaderChar">
    <w:name w:val="Header Char"/>
    <w:link w:val="Header"/>
    <w:rsid w:val="00295EDE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44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al.seegoolam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3587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5</cp:revision>
  <cp:lastPrinted>2007-07-12T09:53:00Z</cp:lastPrinted>
  <dcterms:created xsi:type="dcterms:W3CDTF">2023-05-09T14:17:00Z</dcterms:created>
  <dcterms:modified xsi:type="dcterms:W3CDTF">2023-05-18T07:39:00Z</dcterms:modified>
</cp:coreProperties>
</file>